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商品別代理店募集要項</w:t>
      </w:r>
    </w:p>
    <w:p>
      <w:r>
        <w:rPr>
          <w:color w:val="5B6761"/>
        </w:rPr>
        <w:t>代理店という一語にまとめず、商品と現場責任に応じて役割を分離する運用基準</w:t>
      </w:r>
    </w:p>
    <w:p>
      <w:r>
        <w:rPr>
          <w:b/>
          <w:color w:val="D2A23B"/>
        </w:rPr>
        <w:t>第126版｜2026年8月16日</w:t>
      </w:r>
    </w:p>
    <w:p>
      <w:pPr>
        <w:pStyle w:val="Heading1"/>
      </w:pPr>
      <w:r>
        <w:t>基本方針</w:t>
      </w:r>
    </w:p>
    <w:p>
      <w:pPr>
        <w:pStyle w:val="ListBullet"/>
      </w:pPr>
      <w:r>
        <w:t>政府機関・大学・研究機関・最終顧客は、原則として「代理店」ではなく、行政窓口・研究協力先・顧客候補に分類します。</w:t>
      </w:r>
    </w:p>
    <w:p>
      <w:pPr>
        <w:pStyle w:val="ListBullet"/>
      </w:pPr>
      <w:r>
        <w:t>代理店は、紹介、販売、技術、保守、分析の一つ以上を契約で担います。できない役割を名乗らせません。</w:t>
      </w:r>
    </w:p>
    <w:p>
      <w:pPr>
        <w:pStyle w:val="ListBullet"/>
      </w:pPr>
      <w:r>
        <w:t>初年度は非独占。年間実績、回収、法令順守、技術・保守体制を確認後に独占を再検討します。</w:t>
      </w:r>
    </w:p>
    <w:p>
      <w:pPr>
        <w:pStyle w:val="Heading1"/>
      </w:pPr>
      <w:r>
        <w:t>商品別に求める業種と役割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1872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商品</w:t>
            </w:r>
          </w:p>
        </w:tc>
        <w:tc>
          <w:tcPr>
            <w:tcW w:type="dxa" w:w="2448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適する業種</w:t>
            </w:r>
          </w:p>
        </w:tc>
        <w:tc>
          <w:tcPr>
            <w:tcW w:type="dxa" w:w="2880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必須役割</w:t>
            </w:r>
          </w:p>
        </w:tc>
        <w:tc>
          <w:tcPr>
            <w:tcW w:type="dxa" w:w="2160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不可・注意</w:t>
            </w:r>
          </w:p>
        </w:tc>
      </w:tr>
      <w:tr>
        <w:tc>
          <w:tcPr>
            <w:tcW w:type="dxa" w:w="187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A-MEISTER</w:t>
            </w:r>
          </w:p>
        </w:tc>
        <w:tc>
          <w:tcPr>
            <w:tcW w:type="dxa" w:w="24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環境プラント、圧力容器、ボイラー、EPC、廃棄物処理</w:t>
            </w:r>
          </w:p>
        </w:tc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案件発掘、原料情報収集、現地法規、据付調整、保守窓口</w:t>
            </w:r>
          </w:p>
        </w:tc>
        <w:tc>
          <w:tcPr>
            <w:tcW w:type="dxa" w:w="21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処理性能・費用を試験前に保証しない</w:t>
            </w:r>
          </w:p>
        </w:tc>
      </w:tr>
      <w:tr>
        <w:tc>
          <w:tcPr>
            <w:tcW w:type="dxa" w:w="187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土壌改良（ダイオキシン・PCB）</w:t>
            </w:r>
          </w:p>
        </w:tc>
        <w:tc>
          <w:tcPr>
            <w:tcW w:type="dxa" w:w="24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環境コンサル、土壌調査、分析機関、行政案件支援</w:t>
            </w:r>
          </w:p>
        </w:tc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汚染データ、試料、現地法規、分析、施工体制の調整</w:t>
            </w:r>
          </w:p>
        </w:tc>
        <w:tc>
          <w:tcPr>
            <w:tcW w:type="dxa" w:w="21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グリストラップと混同しない。減少率は条件・証拠を併記</w:t>
            </w:r>
          </w:p>
        </w:tc>
      </w:tr>
      <w:tr>
        <w:tc>
          <w:tcPr>
            <w:tcW w:type="dxa" w:w="187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Grease Trap Meister</w:t>
            </w:r>
          </w:p>
        </w:tc>
        <w:tc>
          <w:tcPr>
            <w:tcW w:type="dxa" w:w="24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厨房設備、給排水、食品工場、ホテル・外食設備</w:t>
            </w:r>
          </w:p>
        </w:tc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施設情報、槽寸法、100V対応、設置、薬剤補給・保守</w:t>
            </w:r>
          </w:p>
        </w:tc>
        <w:tc>
          <w:tcPr>
            <w:tcW w:type="dxa" w:w="21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機械単体模倣不可。バイオとの一体運用。自社工事は原則50台から</w:t>
            </w:r>
          </w:p>
        </w:tc>
      </w:tr>
      <w:tr>
        <w:tc>
          <w:tcPr>
            <w:tcW w:type="dxa" w:w="187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バイオ製剤・カイザー</w:t>
            </w:r>
          </w:p>
        </w:tc>
        <w:tc>
          <w:tcPr>
            <w:tcW w:type="dxa" w:w="24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環境薬剤、農業資材、施工会社、分析・研究</w:t>
            </w:r>
          </w:p>
        </w:tc>
        <w:tc>
          <w:tcPr>
            <w:tcW w:type="dxa" w:w="288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SDS説明、保管、用途確認、施工・分析連携</w:t>
            </w:r>
          </w:p>
        </w:tc>
        <w:tc>
          <w:tcPr>
            <w:tcW w:type="dxa" w:w="21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天然由来を理由に無条件の安全を断定しない</w:t>
            </w:r>
          </w:p>
        </w:tc>
      </w:tr>
    </w:tbl>
    <w:p/>
    <w:p>
      <w:pPr>
        <w:pStyle w:val="Heading1"/>
      </w:pPr>
      <w:r>
        <w:t>共通応募条件</w:t>
      </w:r>
    </w:p>
    <w:p>
      <w:pPr>
        <w:pStyle w:val="ListBullet"/>
      </w:pPr>
      <w:r>
        <w:t>法人登記・責任者・実質的支配者を開示できること</w:t>
      </w:r>
    </w:p>
    <w:p>
      <w:pPr>
        <w:pStyle w:val="ListBullet"/>
      </w:pPr>
      <w:r>
        <w:t>対象国の輸入、販売、廃棄物、化学物質、圧力設備、電気、施工等の法規を確認できること</w:t>
      </w:r>
    </w:p>
    <w:p>
      <w:pPr>
        <w:pStyle w:val="ListBullet"/>
      </w:pPr>
      <w:r>
        <w:t>反社会的勢力、贈収賄、制裁対象との関係がないこと</w:t>
      </w:r>
    </w:p>
    <w:p>
      <w:pPr>
        <w:pStyle w:val="ListBullet"/>
      </w:pPr>
      <w:r>
        <w:t>顧客情報、試験データ、図面、配合、ノウハウを秘密として管理できること</w:t>
      </w:r>
    </w:p>
    <w:p>
      <w:pPr>
        <w:pStyle w:val="ListBullet"/>
      </w:pPr>
      <w:r>
        <w:t>案件登録、月次報告、苦情・事故の即時報告に対応できること</w:t>
      </w:r>
    </w:p>
    <w:p>
      <w:pPr>
        <w:pStyle w:val="Heading1"/>
      </w:pPr>
      <w:r>
        <w:t>報酬の初期交渉基準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584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区分</w:t>
            </w:r>
          </w:p>
        </w:tc>
        <w:tc>
          <w:tcPr>
            <w:tcW w:type="dxa" w:w="3024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初期基準</w:t>
            </w:r>
          </w:p>
        </w:tc>
        <w:tc>
          <w:tcPr>
            <w:tcW w:type="dxa" w:w="4752"/>
            <w:shd w:fill="0B4A3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  <w:sz w:val="18"/>
              </w:rPr>
              <w:t>支払条件</w:t>
            </w:r>
          </w:p>
        </w:tc>
      </w:tr>
      <w:tr>
        <w:tc>
          <w:tcPr>
            <w:tcW w:type="dxa" w:w="158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紹介</w:t>
            </w:r>
          </w:p>
        </w:tc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回収売上の3～5%</w:t>
            </w:r>
          </w:p>
        </w:tc>
        <w:tc>
          <w:tcPr>
            <w:tcW w:type="dxa" w:w="475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入金後。単なる名簿提供は対象外</w:t>
            </w:r>
          </w:p>
        </w:tc>
      </w:tr>
      <w:tr>
        <w:tc>
          <w:tcPr>
            <w:tcW w:type="dxa" w:w="158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販売</w:t>
            </w:r>
          </w:p>
        </w:tc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標準価格から10～15%割引</w:t>
            </w:r>
          </w:p>
        </w:tc>
        <w:tc>
          <w:tcPr>
            <w:tcW w:type="dxa" w:w="475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回収・為替・物流・税負担を契約で分離</w:t>
            </w:r>
          </w:p>
        </w:tc>
      </w:tr>
      <w:tr>
        <w:tc>
          <w:tcPr>
            <w:tcW w:type="dxa" w:w="158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技術</w:t>
            </w:r>
          </w:p>
        </w:tc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案件粗利の15～20%または作業費</w:t>
            </w:r>
          </w:p>
        </w:tc>
        <w:tc>
          <w:tcPr>
            <w:tcW w:type="dxa" w:w="475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作業範囲・成果物・出張費を個別発注</w:t>
            </w:r>
          </w:p>
        </w:tc>
      </w:tr>
      <w:tr>
        <w:tc>
          <w:tcPr>
            <w:tcW w:type="dxa" w:w="158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保守</w:t>
            </w:r>
          </w:p>
        </w:tc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年額・訪問単価・部品粗利</w:t>
            </w:r>
          </w:p>
        </w:tc>
        <w:tc>
          <w:tcPr>
            <w:tcW w:type="dxa" w:w="475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F5F8F6"/>
          </w:tcPr>
          <w:p>
            <w:r>
              <w:rPr>
                <w:sz w:val="17"/>
              </w:rPr>
              <w:t>SLA、現地在庫、一次切分け範囲を明記</w:t>
            </w:r>
          </w:p>
        </w:tc>
      </w:tr>
      <w:tr>
        <w:tc>
          <w:tcPr>
            <w:tcW w:type="dxa" w:w="158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分析</w:t>
            </w:r>
          </w:p>
        </w:tc>
        <w:tc>
          <w:tcPr>
            <w:tcW w:type="dxa" w:w="30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正式見積による再委託費＋管理費</w:t>
            </w:r>
          </w:p>
        </w:tc>
        <w:tc>
          <w:tcPr>
            <w:tcW w:type="dxa" w:w="475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r>
              <w:rPr>
                <w:sz w:val="17"/>
              </w:rPr>
              <w:t>ISO/IEC 17025等の能力確認後</w:t>
            </w:r>
          </w:p>
        </w:tc>
      </w:tr>
    </w:tbl>
    <w:p/>
    <w:p>
      <w:pPr>
        <w:pStyle w:val="Heading1"/>
      </w:pPr>
      <w:r>
        <w:t>採否・更新</w:t>
      </w:r>
    </w:p>
    <w:p>
      <w:pPr>
        <w:pStyle w:val="ListBullet"/>
      </w:pPr>
      <w:r>
        <w:t>100点審査で原則70点以上を契約審査対象、85点以上を重点候補とします。制裁・贈収賄・虚偽・安全軽視は点数にかかわらず失格です。</w:t>
      </w:r>
    </w:p>
    <w:p>
      <w:pPr>
        <w:pStyle w:val="ListBullet"/>
      </w:pPr>
      <w:r>
        <w:t>契約期間は原則1年。売上だけでなく、粗利、回収、試験の質、事故・苦情、報告速度を更新判断に使います。</w:t>
      </w:r>
    </w:p>
    <w:p>
      <w:pPr>
        <w:pStyle w:val="ListBullet"/>
      </w:pPr>
      <w:r>
        <w:t>案件保護は承認日から90日。活動記録があれば更新申請できます。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MEISTER Co., Ltd. | Draft for review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5B6761"/>
        <w:sz w:val="16"/>
      </w:rPr>
      <w:t>MEISTER GLOBAL PARTNER PROGRAM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8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B4A3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B4A3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5B676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 w:val="0"/>
      <w:color w:val="0B4A35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